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F1FA9" w14:textId="77777777" w:rsidR="00732FAF" w:rsidRDefault="00EA4986" w:rsidP="00EA4986">
      <w:pPr>
        <w:jc w:val="center"/>
        <w:rPr>
          <w:lang w:val="fr-CA"/>
        </w:rPr>
      </w:pPr>
      <w:r w:rsidRPr="00EA4986">
        <w:rPr>
          <w:b/>
          <w:lang w:val="fr-CA"/>
        </w:rPr>
        <w:t>Hypothèse</w:t>
      </w:r>
      <w:r w:rsidRPr="00EA4986">
        <w:rPr>
          <w:lang w:val="fr-CA"/>
        </w:rPr>
        <w:t>: La Révolution française a été causée uniqueme</w:t>
      </w:r>
      <w:r>
        <w:rPr>
          <w:lang w:val="fr-CA"/>
        </w:rPr>
        <w:t xml:space="preserve">nt par les nouvelles idées des Lumières propagées au cours du siècle des Lumières </w:t>
      </w:r>
    </w:p>
    <w:p w14:paraId="214E417B" w14:textId="77777777" w:rsidR="00EA4986" w:rsidRDefault="00EA4986" w:rsidP="00EA4986">
      <w:pPr>
        <w:rPr>
          <w:lang w:val="fr-CA"/>
        </w:rPr>
      </w:pPr>
      <w:r>
        <w:rPr>
          <w:lang w:val="fr-CA"/>
        </w:rPr>
        <w:t>Preuve 1 : « Inspirée par les idéaux des Lumières et les modèles britannique et américain, la Révolution française sera toutefois déclenchée par la rage d’un peuple affamé et par la ruine des finances de l’État. »</w:t>
      </w:r>
    </w:p>
    <w:p w14:paraId="5232D02B" w14:textId="77777777" w:rsidR="00EA4986" w:rsidRDefault="00EA4986" w:rsidP="00EA4986">
      <w:pPr>
        <w:rPr>
          <w:lang w:val="fr-CA"/>
        </w:rPr>
      </w:pPr>
      <w:r>
        <w:rPr>
          <w:lang w:val="fr-CA"/>
        </w:rPr>
        <w:t xml:space="preserve">Référence : Lord, F. et Léger, J. (2006). La Révolution française, la fin de l’Ancien Régime. </w:t>
      </w:r>
      <w:r>
        <w:rPr>
          <w:i/>
          <w:lang w:val="fr-CA"/>
        </w:rPr>
        <w:t xml:space="preserve">Histoire en action. </w:t>
      </w:r>
      <w:r>
        <w:rPr>
          <w:lang w:val="fr-CA"/>
        </w:rPr>
        <w:t xml:space="preserve">Québec, Canada : Modulo. </w:t>
      </w:r>
    </w:p>
    <w:p w14:paraId="0268DC37" w14:textId="77777777" w:rsidR="00DA3546" w:rsidRDefault="00EA4986" w:rsidP="00DA3546">
      <w:pPr>
        <w:pStyle w:val="Titre3"/>
        <w:spacing w:before="277" w:after="185"/>
        <w:jc w:val="both"/>
        <w:textAlignment w:val="baseline"/>
        <w:rPr>
          <w:rFonts w:asciiTheme="minorHAnsi" w:eastAsia="Times New Roman" w:hAnsiTheme="minorHAnsi" w:cs="Arial"/>
          <w:color w:val="auto"/>
          <w:sz w:val="22"/>
          <w:szCs w:val="22"/>
          <w:lang w:val="fr-CA"/>
        </w:rPr>
      </w:pPr>
      <w:r w:rsidRPr="00DA3546">
        <w:rPr>
          <w:rFonts w:asciiTheme="minorHAnsi" w:hAnsiTheme="minorHAnsi"/>
          <w:color w:val="auto"/>
          <w:sz w:val="22"/>
          <w:szCs w:val="22"/>
          <w:lang w:val="fr-CA"/>
        </w:rPr>
        <w:t xml:space="preserve">Preuve 2 : « 1. Origines et causes de la révolution </w:t>
      </w:r>
      <w:r w:rsidR="00DA3546" w:rsidRPr="00DA3546">
        <w:rPr>
          <w:rFonts w:asciiTheme="minorHAnsi" w:hAnsiTheme="minorHAnsi" w:cstheme="minorHAnsi"/>
          <w:color w:val="auto"/>
          <w:sz w:val="22"/>
          <w:szCs w:val="22"/>
          <w:lang w:val="fr-CA"/>
        </w:rPr>
        <w:t>[…]</w:t>
      </w:r>
      <w:r w:rsidR="00DA3546" w:rsidRPr="00DA3546">
        <w:rPr>
          <w:rFonts w:asciiTheme="minorHAnsi" w:eastAsia="Times New Roman" w:hAnsiTheme="minorHAnsi" w:cs="Arial"/>
          <w:b/>
          <w:bCs/>
          <w:color w:val="auto"/>
          <w:sz w:val="22"/>
          <w:szCs w:val="22"/>
          <w:lang w:val="fr-CA"/>
        </w:rPr>
        <w:t>1.3. La crise économique</w:t>
      </w:r>
      <w:r w:rsidR="00DA3546">
        <w:rPr>
          <w:rFonts w:asciiTheme="minorHAnsi" w:eastAsia="Times New Roman" w:hAnsiTheme="minorHAnsi" w:cs="Arial"/>
          <w:b/>
          <w:bCs/>
          <w:color w:val="auto"/>
          <w:sz w:val="22"/>
          <w:szCs w:val="22"/>
          <w:lang w:val="fr-CA"/>
        </w:rPr>
        <w:t xml:space="preserve"> : </w:t>
      </w:r>
      <w:r w:rsidR="00DA3546" w:rsidRPr="00DA3546">
        <w:rPr>
          <w:rFonts w:asciiTheme="minorHAnsi" w:eastAsia="Times New Roman" w:hAnsiTheme="minorHAnsi" w:cs="Arial"/>
          <w:color w:val="auto"/>
          <w:sz w:val="22"/>
          <w:szCs w:val="22"/>
          <w:lang w:val="fr-CA"/>
        </w:rPr>
        <w:t>Le pouvoir d'achat des paysans s'est érodé durant le demi-siècle qui précède la prise de la Bastille. Les paysans consacrent un peu plus de la moitié de leur pouvoir d'achat à leur alimentation, à base de céréales. Or, les prix augmentent plus vite que les salaires : 50 % pour les premiers entre 1735 et 1789, contre 20 % pour les seconds. Le prix des céréales a même une tendance nette à croître nettement plus vite que celui des autres marchandises. Un pain de quatre livres vaut, au début du règne de </w:t>
      </w:r>
      <w:hyperlink r:id="rId4" w:history="1">
        <w:r w:rsidR="00DA3546" w:rsidRPr="00DA3546">
          <w:rPr>
            <w:rFonts w:asciiTheme="minorHAnsi" w:eastAsia="Times New Roman" w:hAnsiTheme="minorHAnsi" w:cs="Arial"/>
            <w:color w:val="auto"/>
            <w:sz w:val="22"/>
            <w:szCs w:val="22"/>
            <w:u w:val="single"/>
            <w:bdr w:val="none" w:sz="0" w:space="0" w:color="auto" w:frame="1"/>
            <w:lang w:val="fr-CA"/>
          </w:rPr>
          <w:t>Louis XVI</w:t>
        </w:r>
      </w:hyperlink>
      <w:r w:rsidR="00DA3546" w:rsidRPr="00DA3546">
        <w:rPr>
          <w:rFonts w:asciiTheme="minorHAnsi" w:eastAsia="Times New Roman" w:hAnsiTheme="minorHAnsi" w:cs="Arial"/>
          <w:color w:val="auto"/>
          <w:sz w:val="22"/>
          <w:szCs w:val="22"/>
          <w:lang w:val="fr-CA"/>
        </w:rPr>
        <w:t>, environ huit sous, mais ce prix double, et augmente même davantage lors de la </w:t>
      </w:r>
      <w:hyperlink r:id="rId5" w:history="1">
        <w:r w:rsidR="00DA3546" w:rsidRPr="00DA3546">
          <w:rPr>
            <w:rFonts w:asciiTheme="minorHAnsi" w:eastAsia="Times New Roman" w:hAnsiTheme="minorHAnsi" w:cs="Arial"/>
            <w:color w:val="auto"/>
            <w:sz w:val="22"/>
            <w:szCs w:val="22"/>
            <w:u w:val="single"/>
            <w:bdr w:val="none" w:sz="0" w:space="0" w:color="auto" w:frame="1"/>
            <w:lang w:val="fr-CA"/>
          </w:rPr>
          <w:t>guerre des Farines</w:t>
        </w:r>
      </w:hyperlink>
      <w:r w:rsidR="00DA3546" w:rsidRPr="00DA3546">
        <w:rPr>
          <w:rFonts w:asciiTheme="minorHAnsi" w:eastAsia="Times New Roman" w:hAnsiTheme="minorHAnsi" w:cs="Arial"/>
          <w:color w:val="auto"/>
          <w:sz w:val="22"/>
          <w:szCs w:val="22"/>
          <w:lang w:val="fr-CA"/>
        </w:rPr>
        <w:t> (1775). Or, le salaire d'un ouvrier ou d'un journalier agricole est compris entre dix et vingt sous par jour, pour 250 jours travaillés par an. Il apparaît donc que, pour les familles les plus modestes, la question du pain était d'une acuité réelle.</w:t>
      </w:r>
      <w:r w:rsidR="00DA3546">
        <w:rPr>
          <w:rFonts w:asciiTheme="minorHAnsi" w:eastAsia="Times New Roman" w:hAnsiTheme="minorHAnsi" w:cs="Arial"/>
          <w:color w:val="auto"/>
          <w:sz w:val="22"/>
          <w:szCs w:val="22"/>
          <w:lang w:val="fr-CA"/>
        </w:rPr>
        <w:t> »</w:t>
      </w:r>
    </w:p>
    <w:p w14:paraId="0BD4CE40" w14:textId="77777777" w:rsidR="00DA3546" w:rsidRPr="00DA3546" w:rsidRDefault="00DA3546" w:rsidP="00DA3546">
      <w:pPr>
        <w:rPr>
          <w:lang w:val="fr-CA"/>
        </w:rPr>
      </w:pPr>
      <w:r>
        <w:rPr>
          <w:lang w:val="fr-CA"/>
        </w:rPr>
        <w:t>Référence : Larousse.  (</w:t>
      </w:r>
      <w:proofErr w:type="spellStart"/>
      <w:proofErr w:type="gramStart"/>
      <w:r>
        <w:rPr>
          <w:lang w:val="fr-CA"/>
        </w:rPr>
        <w:t>n.d</w:t>
      </w:r>
      <w:proofErr w:type="spellEnd"/>
      <w:r>
        <w:rPr>
          <w:lang w:val="fr-CA"/>
        </w:rPr>
        <w:t>.</w:t>
      </w:r>
      <w:proofErr w:type="gramEnd"/>
      <w:r>
        <w:rPr>
          <w:lang w:val="fr-CA"/>
        </w:rPr>
        <w:t xml:space="preserve">). </w:t>
      </w:r>
      <w:r w:rsidR="00F56640">
        <w:rPr>
          <w:lang w:val="fr-CA"/>
        </w:rPr>
        <w:t xml:space="preserve">Révolution française (1789-1799). Récupéré du site Larousse : </w:t>
      </w:r>
      <w:r w:rsidR="00F56640" w:rsidRPr="00F56640">
        <w:rPr>
          <w:lang w:val="fr-CA"/>
        </w:rPr>
        <w:t>https://www.larousse.fr/encyclopedie/divers/R%C3%A9volution_fran%C3%A7aise/140733</w:t>
      </w:r>
    </w:p>
    <w:p w14:paraId="7DF91D6E" w14:textId="77777777" w:rsidR="00DA3546" w:rsidRDefault="00DA3546" w:rsidP="00DA3546">
      <w:pPr>
        <w:rPr>
          <w:lang w:val="fr-CA"/>
        </w:rPr>
      </w:pPr>
      <w:r>
        <w:rPr>
          <w:lang w:val="fr-CA"/>
        </w:rPr>
        <w:t xml:space="preserve">Conclusion : </w:t>
      </w:r>
    </w:p>
    <w:p w14:paraId="58EAEDED" w14:textId="77777777" w:rsidR="00DA3546" w:rsidRDefault="00DA3546" w:rsidP="00DA3546">
      <w:pPr>
        <w:rPr>
          <w:lang w:val="fr-CA"/>
        </w:rPr>
      </w:pPr>
      <w:r>
        <w:rPr>
          <w:lang w:val="fr-CA"/>
        </w:rPr>
        <w:t xml:space="preserve">Lors de ce travail, je devais faire une recherche au sujet des causes de la Révolution française, afin de savoir si cette dernière a été causée uniquement par les nouvelles idées des philosophes des Lumières. </w:t>
      </w:r>
    </w:p>
    <w:p w14:paraId="47B67A15" w14:textId="77777777" w:rsidR="00DA3546" w:rsidRDefault="00DA3546" w:rsidP="00DA3546">
      <w:pPr>
        <w:rPr>
          <w:lang w:val="fr-CA"/>
        </w:rPr>
      </w:pPr>
      <w:r>
        <w:rPr>
          <w:lang w:val="fr-CA"/>
        </w:rPr>
        <w:t xml:space="preserve">En France, au cours du XVIIIe siècle et avant la Révolution française, existe la société qu’on appelle l’Ancien régime. L’Ancien régime consiste d’une hiérarchie sociale de la société française. Au sommet de la hiérarchie se trouve le roi qui a le pouvoir absolu. Ensuite, sont les nobles qui représentent 1-2% de la société, mais qui ont tous les privilèges. Ils sont suivis par le clergé qui représentent le catholicisme. Au bas de la pyramide sociale se trouve le Tiers-état. Les paysans n’ont aucun privilège. Ils payent les impôts et la dîme au clergé. Pendant le siècle des Lumières, certains philosophes comme Montesquieu, Rousseau et Voltaire questionnent ces injustices et inégalités. </w:t>
      </w:r>
    </w:p>
    <w:p w14:paraId="3E76616E" w14:textId="77777777" w:rsidR="00DA3546" w:rsidRDefault="00DA3546" w:rsidP="00DA3546">
      <w:pPr>
        <w:rPr>
          <w:lang w:val="fr-CA"/>
        </w:rPr>
      </w:pPr>
      <w:r>
        <w:rPr>
          <w:lang w:val="fr-CA"/>
        </w:rPr>
        <w:t xml:space="preserve">Ma première preuve indique que les Français ont été inspirés par les idées des philosophes. Toutefois, la Révolution américaine leur a aussi servi d’inspiration. Les auteurs ajoutent que la famine et la crise économique ont enfin déclencher une révolution. D’autre part, le site </w:t>
      </w:r>
      <w:r w:rsidR="00F56640">
        <w:rPr>
          <w:lang w:val="fr-CA"/>
        </w:rPr>
        <w:t xml:space="preserve">Larousse affirme qu’il y a plusieurs facteurs qui ont mené à la Révolution française, dont la crise économique. Ce site explique que la moitié du salaire des paysans est dépensé sur la nourriture, surtout sur les produits de céréales. Le prix de ces derniers augmentait à une vitesse incroyable. Par exemple, le coût du pain a monté à 16 sous tandis que le salaire d’un agriculteur était entre 10 et 20 sous par jour. </w:t>
      </w:r>
    </w:p>
    <w:p w14:paraId="5E847EB8" w14:textId="77777777" w:rsidR="00F56640" w:rsidRPr="00DA3546" w:rsidRDefault="00F56640" w:rsidP="00DA3546">
      <w:pPr>
        <w:rPr>
          <w:lang w:val="fr-CA"/>
        </w:rPr>
      </w:pPr>
      <w:r>
        <w:rPr>
          <w:lang w:val="fr-CA"/>
        </w:rPr>
        <w:t xml:space="preserve">Mon hypothèse est donc fausse. </w:t>
      </w:r>
      <w:bookmarkStart w:id="0" w:name="_GoBack"/>
      <w:bookmarkEnd w:id="0"/>
    </w:p>
    <w:p w14:paraId="1BFE36CE" w14:textId="77777777" w:rsidR="00EA4986" w:rsidRPr="00DA3546" w:rsidRDefault="00EA4986" w:rsidP="00EA4986">
      <w:pPr>
        <w:rPr>
          <w:lang w:val="fr-CA"/>
        </w:rPr>
      </w:pPr>
    </w:p>
    <w:sectPr w:rsidR="00EA4986" w:rsidRPr="00DA3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86"/>
    <w:rsid w:val="00411DE7"/>
    <w:rsid w:val="004E1D5E"/>
    <w:rsid w:val="00DA3546"/>
    <w:rsid w:val="00EA4986"/>
    <w:rsid w:val="00F5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4E01"/>
  <w15:chartTrackingRefBased/>
  <w15:docId w15:val="{83335734-0FD8-4C66-8645-6E4F2DB0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DA35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4986"/>
    <w:rPr>
      <w:color w:val="808080"/>
    </w:rPr>
  </w:style>
  <w:style w:type="character" w:customStyle="1" w:styleId="Titre3Car">
    <w:name w:val="Titre 3 Car"/>
    <w:basedOn w:val="Policepardfaut"/>
    <w:link w:val="Titre3"/>
    <w:uiPriority w:val="9"/>
    <w:rsid w:val="00DA35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rousse.fr/encyclopedie/divers/guerre_des_Farines/119070" TargetMode="External"/><Relationship Id="rId4" Type="http://schemas.openxmlformats.org/officeDocument/2006/relationships/hyperlink" Target="https://www.larousse.fr/encyclopedie/personnage/Louis_XVI/1304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512</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Guylaine (ASD-N)</dc:creator>
  <cp:keywords/>
  <dc:description/>
  <cp:lastModifiedBy>Richard, Guylaine (ASD-N)</cp:lastModifiedBy>
  <cp:revision>1</cp:revision>
  <dcterms:created xsi:type="dcterms:W3CDTF">2019-03-08T18:12:00Z</dcterms:created>
  <dcterms:modified xsi:type="dcterms:W3CDTF">2019-03-08T18:42:00Z</dcterms:modified>
</cp:coreProperties>
</file>